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8942d1_8k.htm"/>
      <w:bookmarkStart w:id="1" w:name="kstm268942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4380"/>
        <w:gridCol w:w="2074"/>
        <w:gridCol w:w="1775"/>
      </w:tblGrid>
      <w:tr>
        <w:trPr/>
        <w:tc>
          <w:tcPr>
            <w:tcW w:w="43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2074"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001-35333</w:t>
            </w:r>
          </w:p>
        </w:tc>
        <w:tc>
          <w:tcPr>
            <w:tcW w:w="17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45-6259461</w:t>
            </w:r>
          </w:p>
        </w:tc>
      </w:tr>
      <w:tr>
        <w:trPr/>
        <w:tc>
          <w:tcPr>
            <w:tcW w:w="4380" w:type="dxa"/>
            <w:tcBorders/>
            <w:vAlign w:val="center"/>
          </w:tcPr>
          <w:p>
            <w:pPr>
              <w:pStyle w:val="TableContents"/>
              <w:bidi w:val="0"/>
              <w:spacing w:before="0" w:after="283"/>
              <w:jc w:val="center"/>
              <w:rPr/>
            </w:pPr>
            <w:r>
              <w:rPr/>
              <w:t>(State or other jurisdiction of</w:t>
              <w:br/>
              <w:t>incorporation)</w:t>
            </w:r>
          </w:p>
        </w:tc>
        <w:tc>
          <w:tcPr>
            <w:tcW w:w="2074" w:type="dxa"/>
            <w:tcBorders/>
            <w:vAlign w:val="center"/>
          </w:tcPr>
          <w:p>
            <w:pPr>
              <w:pStyle w:val="TableContents"/>
              <w:bidi w:val="0"/>
              <w:spacing w:before="0" w:after="283"/>
              <w:jc w:val="center"/>
              <w:rPr/>
            </w:pPr>
            <w:r>
              <w:rPr/>
              <w:t>(Commission</w:t>
              <w:br/>
              <w:t>File Number)</w:t>
            </w:r>
          </w:p>
        </w:tc>
        <w:tc>
          <w:tcPr>
            <w:tcW w:w="1775" w:type="dxa"/>
            <w:tcBorders/>
            <w:vAlign w:val="center"/>
          </w:tcPr>
          <w:p>
            <w:pPr>
              <w:pStyle w:val="TableContents"/>
              <w:bidi w:val="0"/>
              <w:spacing w:before="0" w:after="283"/>
              <w:jc w:val="center"/>
              <w:rPr/>
            </w:pPr>
            <w:r>
              <w:rPr/>
              <w:t>(I.R.S. Employer</w:t>
              <w:br/>
              <w:t>Identification No.)</w:t>
            </w:r>
          </w:p>
        </w:tc>
      </w:tr>
      <w:tr>
        <w:trPr/>
        <w:tc>
          <w:tcPr>
            <w:tcW w:w="6454" w:type="dxa"/>
            <w:gridSpan w:val="2"/>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6454" w:type="dxa"/>
            <w:gridSpan w:val="2"/>
            <w:tcBorders/>
            <w:vAlign w:val="center"/>
          </w:tcPr>
          <w:p>
            <w:pPr>
              <w:pStyle w:val="TableContents"/>
              <w:bidi w:val="0"/>
              <w:spacing w:before="0" w:after="283"/>
              <w:jc w:val="center"/>
              <w:rPr/>
            </w:pPr>
            <w:r>
              <w:rPr>
                <w:b/>
              </w:rPr>
              <w:t>The Bank of New York Mellon Trust Company, N.A., Trustee</w:t>
            </w:r>
            <w:r>
              <w:rPr/>
              <w:t xml:space="preserve"> </w:t>
            </w:r>
            <w:r>
              <w:rPr>
                <w:b/>
              </w:rPr>
              <w:br/>
              <w:t>601 Travis Street</w:t>
              <w:br/>
              <w:t>16</w:t>
            </w:r>
            <w:r>
              <w:rPr>
                <w:b/>
                <w:position w:val="8"/>
                <w:sz w:val="19"/>
              </w:rPr>
              <w:t>th</w:t>
            </w:r>
            <w:r>
              <w:rPr>
                <w:b/>
              </w:rPr>
              <w:t xml:space="preserve"> Floor</w:t>
              <w:br/>
              <w:t xml:space="preserve">Houston, Texas </w:t>
            </w:r>
          </w:p>
        </w:tc>
        <w:tc>
          <w:tcPr>
            <w:tcW w:w="17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77002</w:t>
            </w:r>
          </w:p>
        </w:tc>
      </w:tr>
      <w:tr>
        <w:trPr/>
        <w:tc>
          <w:tcPr>
            <w:tcW w:w="6454" w:type="dxa"/>
            <w:gridSpan w:val="2"/>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645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(512) 236-6555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240.14d-(b))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0" w:type="dxa"/>
          <w:right w:w="0" w:type="dxa"/>
        </w:tblCellMar>
      </w:tblPr>
      <w:tblGrid>
        <w:gridCol w:w="2210"/>
        <w:gridCol w:w="1310"/>
        <w:gridCol w:w="3590"/>
      </w:tblGrid>
      <w:tr>
        <w:trPr/>
        <w:tc>
          <w:tcPr>
            <w:tcW w:w="221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1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Units of Beneficial Interest</w:t>
            </w:r>
          </w:p>
        </w:tc>
        <w:tc>
          <w:tcPr>
            <w:tcW w:w="13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PVL</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470"/>
        <w:gridCol w:w="8667"/>
      </w:tblGrid>
      <w:tr>
        <w:trPr/>
        <w:tc>
          <w:tcPr>
            <w:tcW w:w="6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b/>
                <w:sz w:val="20"/>
              </w:rPr>
            </w:pPr>
            <w:r>
              <w:rPr>
                <w:b/>
                <w:sz w:val="20"/>
              </w:rPr>
              <w:t>Item 2.02</w:t>
            </w:r>
          </w:p>
        </w:tc>
        <w:tc>
          <w:tcPr>
            <w:tcW w:w="8667"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Permianville Royalty Trust (the “Trust”) issued a press release announcing the Trust’s distribution to be paid in April 2026. A copy of the press release is furnished as Exhibit 99.1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1885"/>
        <w:gridCol w:w="8233"/>
      </w:tblGrid>
      <w:tr>
        <w:trPr/>
        <w:tc>
          <w:tcPr>
            <w:tcW w:w="8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b/>
                <w:sz w:val="20"/>
              </w:rPr>
            </w:pPr>
            <w:r>
              <w:rPr>
                <w:b/>
                <w:sz w:val="20"/>
              </w:rPr>
              <w:t>Item 9.01</w:t>
            </w:r>
          </w:p>
        </w:tc>
        <w:tc>
          <w:tcPr>
            <w:tcW w:w="8233"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245"/>
        <w:gridCol w:w="7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(d)</w:t>
            </w:r>
          </w:p>
        </w:tc>
        <w:tc>
          <w:tcPr>
            <w:tcW w:w="785" w:type="dxa"/>
            <w:tcBorders/>
            <w:vAlign w:val="center"/>
          </w:tcPr>
          <w:p>
            <w:pPr>
              <w:pStyle w:val="TableContents"/>
              <w:bidi w:val="0"/>
              <w:spacing w:before="0" w:after="283"/>
              <w:jc w:val="left"/>
              <w:rPr>
                <w:b/>
                <w:sz w:val="20"/>
              </w:rPr>
            </w:pPr>
            <w:r>
              <w:rPr>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400"/>
        <w:gridCol w:w="5240"/>
      </w:tblGrid>
      <w:tr>
        <w:trPr/>
        <w:tc>
          <w:tcPr>
            <w:tcW w:w="140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Exhibit Number</w:t>
            </w:r>
          </w:p>
        </w:tc>
        <w:tc>
          <w:tcPr>
            <w:tcW w:w="524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400" w:type="dxa"/>
            <w:tcBorders/>
            <w:vAlign w:val="center"/>
          </w:tcPr>
          <w:p>
            <w:pPr>
              <w:pStyle w:val="TableContents"/>
              <w:bidi w:val="0"/>
              <w:spacing w:before="0" w:after="283"/>
              <w:jc w:val="both"/>
              <w:rPr/>
            </w:pPr>
            <w:r>
              <w:rPr/>
              <w:t> </w:t>
            </w:r>
          </w:p>
        </w:tc>
        <w:tc>
          <w:tcPr>
            <w:tcW w:w="5240" w:type="dxa"/>
            <w:tcBorders/>
            <w:vAlign w:val="center"/>
          </w:tcPr>
          <w:p>
            <w:pPr>
              <w:pStyle w:val="TableContents"/>
              <w:bidi w:val="0"/>
              <w:spacing w:before="0" w:after="283"/>
              <w:jc w:val="center"/>
              <w:rPr/>
            </w:pPr>
            <w:r>
              <w:rPr/>
              <w:t> </w:t>
            </w:r>
          </w:p>
        </w:tc>
      </w:tr>
      <w:tr>
        <w:trPr/>
        <w:tc>
          <w:tcPr>
            <w:tcW w:w="1400" w:type="dxa"/>
            <w:tcBorders/>
            <w:vAlign w:val="center"/>
          </w:tcPr>
          <w:p>
            <w:pPr>
              <w:pStyle w:val="TableContents"/>
              <w:bidi w:val="0"/>
              <w:spacing w:before="0" w:after="283"/>
              <w:jc w:val="center"/>
              <w:rPr/>
            </w:pPr>
            <w:hyperlink w:anchor="tm268942d1_ex99-1.htm">
              <w:r>
                <w:rPr>
                  <w:rStyle w:val="InternetLink"/>
                  <w:rFonts w:ascii="Times New Roman;Times;Serif" w:hAnsi="Times New Roman;Times;Serif"/>
                  <w:sz w:val="20"/>
                </w:rPr>
                <w:t>99.1</w:t>
              </w:r>
            </w:hyperlink>
          </w:p>
        </w:tc>
        <w:tc>
          <w:tcPr>
            <w:tcW w:w="5240" w:type="dxa"/>
            <w:tcBorders/>
            <w:vAlign w:val="center"/>
          </w:tcPr>
          <w:p>
            <w:pPr>
              <w:pStyle w:val="TableContents"/>
              <w:bidi w:val="0"/>
              <w:spacing w:before="0" w:after="283"/>
              <w:jc w:val="left"/>
              <w:rPr/>
            </w:pPr>
            <w:hyperlink w:anchor="tm268942d1_ex99-1.htm">
              <w:r>
                <w:rPr>
                  <w:rStyle w:val="InternetLink"/>
                  <w:rFonts w:ascii="Times New Roman;Times;Serif" w:hAnsi="Times New Roman;Times;Serif"/>
                  <w:sz w:val="20"/>
                </w:rPr>
                <w:t>Permianville Royalty Trust Press Release dated March 16,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382" w:type="dxa"/>
        <w:jc w:val="left"/>
        <w:tblInd w:w="0" w:type="dxa"/>
        <w:tblLayout w:type="fixed"/>
        <w:tblCellMar>
          <w:top w:w="0" w:type="dxa"/>
          <w:left w:w="0" w:type="dxa"/>
          <w:bottom w:w="0" w:type="dxa"/>
          <w:right w:w="0" w:type="dxa"/>
        </w:tblCellMar>
      </w:tblPr>
      <w:tblGrid>
        <w:gridCol w:w="1805"/>
        <w:gridCol w:w="383"/>
        <w:gridCol w:w="999"/>
        <w:gridCol w:w="4195"/>
      </w:tblGrid>
      <w:tr>
        <w:trPr/>
        <w:tc>
          <w:tcPr>
            <w:tcW w:w="1805" w:type="dxa"/>
            <w:tcBorders/>
            <w:vAlign w:val="center"/>
          </w:tcPr>
          <w:p>
            <w:pPr>
              <w:pStyle w:val="TableContents"/>
              <w:bidi w:val="0"/>
              <w:spacing w:before="0" w:after="283"/>
              <w:jc w:val="left"/>
              <w:rPr/>
            </w:pPr>
            <w:r>
              <w:rPr/>
              <w:t> </w:t>
            </w:r>
          </w:p>
        </w:tc>
        <w:tc>
          <w:tcPr>
            <w:tcW w:w="5577"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w:t>
            </w:r>
          </w:p>
        </w:tc>
      </w:tr>
      <w:tr>
        <w:trPr/>
        <w:tc>
          <w:tcPr>
            <w:tcW w:w="1805" w:type="dxa"/>
            <w:tcBorders/>
            <w:vAlign w:val="center"/>
          </w:tcPr>
          <w:p>
            <w:pPr>
              <w:pStyle w:val="TableContents"/>
              <w:bidi w:val="0"/>
              <w:spacing w:before="0" w:after="283"/>
              <w:jc w:val="left"/>
              <w:rPr/>
            </w:pPr>
            <w:r>
              <w:rPr/>
              <w:t> </w:t>
            </w:r>
          </w:p>
        </w:tc>
        <w:tc>
          <w:tcPr>
            <w:tcW w:w="5577"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1805" w:type="dxa"/>
            <w:tcBorders/>
            <w:vAlign w:val="center"/>
          </w:tcPr>
          <w:p>
            <w:pPr>
              <w:pStyle w:val="TableContents"/>
              <w:bidi w:val="0"/>
              <w:spacing w:before="0" w:after="283"/>
              <w:jc w:val="left"/>
              <w:rPr/>
            </w:pPr>
            <w:r>
              <w:rPr/>
              <w:t> </w:t>
            </w:r>
          </w:p>
        </w:tc>
        <w:tc>
          <w:tcPr>
            <w:tcW w:w="5577"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sz w:val="20"/>
              </w:rPr>
            </w:pPr>
            <w:r>
              <w:rPr>
                <w:sz w:val="20"/>
              </w:rPr>
              <w:t>Date: March 16, 2026</w:t>
            </w:r>
          </w:p>
        </w:tc>
        <w:tc>
          <w:tcPr>
            <w:tcW w:w="383" w:type="dxa"/>
            <w:tcBorders/>
            <w:vAlign w:val="center"/>
          </w:tcPr>
          <w:p>
            <w:pPr>
              <w:pStyle w:val="TableContents"/>
              <w:bidi w:val="0"/>
              <w:spacing w:before="0" w:after="283"/>
              <w:jc w:val="left"/>
              <w:rPr>
                <w:caps w:val="false"/>
                <w:smallCaps w:val="false"/>
              </w:rPr>
            </w:pPr>
            <w:r>
              <w:rPr>
                <w:caps w:val="false"/>
                <w:smallCaps w:val="false"/>
              </w:rPr>
              <w:t> </w:t>
            </w:r>
          </w:p>
        </w:tc>
        <w:tc>
          <w:tcPr>
            <w:tcW w:w="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Sarah Newell</w:t>
            </w:r>
          </w:p>
        </w:tc>
      </w:tr>
      <w:tr>
        <w:trPr/>
        <w:tc>
          <w:tcPr>
            <w:tcW w:w="1805" w:type="dxa"/>
            <w:tcBorders/>
            <w:vAlign w:val="center"/>
          </w:tcPr>
          <w:p>
            <w:pPr>
              <w:pStyle w:val="TableContents"/>
              <w:bidi w:val="0"/>
              <w:spacing w:before="0" w:after="283"/>
              <w:jc w:val="left"/>
              <w:rPr/>
            </w:pPr>
            <w:r>
              <w:rPr/>
              <w:t> </w:t>
            </w:r>
          </w:p>
        </w:tc>
        <w:tc>
          <w:tcPr>
            <w:tcW w:w="138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w:t>
            </w:r>
          </w:p>
        </w:tc>
      </w:tr>
      <w:tr>
        <w:trPr/>
        <w:tc>
          <w:tcPr>
            <w:tcW w:w="1805" w:type="dxa"/>
            <w:tcBorders/>
            <w:vAlign w:val="center"/>
          </w:tcPr>
          <w:p>
            <w:pPr>
              <w:pStyle w:val="TableContents"/>
              <w:bidi w:val="0"/>
              <w:spacing w:before="0" w:after="283"/>
              <w:jc w:val="left"/>
              <w:rPr/>
            </w:pPr>
            <w:r>
              <w:rPr/>
              <w:t> </w:t>
            </w:r>
          </w:p>
        </w:tc>
        <w:tc>
          <w:tcPr>
            <w:tcW w:w="138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8942d1_ex99-1.htm"/>
      <w:bookmarkStart w:id="3" w:name="kstm268942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29130" cy="5168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9130" cy="5168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 Announces Monthly Cash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Texas—(BUSINESS WIRE)—March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(NYSE: PVL, the “Trust”) today announced a cash distribution to the holders of its units of beneficial interest of $0.010000 per unit, payable on April 14, 2026, to unitholders of record on March 31, 2026. The net profits interest calculation represents reported oil production for the month of December 2025 and reported natural gas production during November 2025. The calculation includes accrued costs incurred in January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underlying oil and natural gas sales volumes and average received wellhead prices attributable to the current and prior month recorded net profits interest calculations.</w:t>
      </w:r>
    </w:p>
    <w:p>
      <w:pPr>
        <w:pStyle w:val="TextBody"/>
        <w:bidi w:val="0"/>
        <w:spacing w:before="0" w:after="0"/>
        <w:ind w:left="0" w:right="0" w:hanging="0"/>
        <w:jc w:val="left"/>
        <w:rPr>
          <w:caps w:val="false"/>
          <w:smallCaps w:val="false"/>
        </w:rPr>
      </w:pPr>
      <w:r>
        <w:rPr>
          <w:caps w:val="false"/>
          <w:smallCaps w:val="false"/>
        </w:rPr>
        <w:t> </w:t>
      </w:r>
    </w:p>
    <w:tbl>
      <w:tblPr>
        <w:tblW w:w="6602" w:type="dxa"/>
        <w:jc w:val="left"/>
        <w:tblInd w:w="0" w:type="dxa"/>
        <w:tblLayout w:type="fixed"/>
        <w:tblCellMar>
          <w:top w:w="0" w:type="dxa"/>
          <w:left w:w="0" w:type="dxa"/>
          <w:bottom w:w="0" w:type="dxa"/>
          <w:right w:w="0" w:type="dxa"/>
        </w:tblCellMar>
      </w:tblPr>
      <w:tblGrid>
        <w:gridCol w:w="1250"/>
        <w:gridCol w:w="60"/>
        <w:gridCol w:w="60"/>
        <w:gridCol w:w="590"/>
        <w:gridCol w:w="60"/>
        <w:gridCol w:w="60"/>
        <w:gridCol w:w="64"/>
        <w:gridCol w:w="525"/>
        <w:gridCol w:w="60"/>
        <w:gridCol w:w="60"/>
        <w:gridCol w:w="60"/>
        <w:gridCol w:w="845"/>
        <w:gridCol w:w="60"/>
        <w:gridCol w:w="60"/>
        <w:gridCol w:w="60"/>
        <w:gridCol w:w="590"/>
        <w:gridCol w:w="60"/>
        <w:gridCol w:w="60"/>
        <w:gridCol w:w="157"/>
        <w:gridCol w:w="612"/>
        <w:gridCol w:w="60"/>
        <w:gridCol w:w="60"/>
        <w:gridCol w:w="260"/>
        <w:gridCol w:w="794"/>
        <w:gridCol w:w="7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5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Sales Volumes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Bbl)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Mcf)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Month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1,133,064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Month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314,444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oil cash receipts from the oil and gas properties underlying the Trust (the “Underlying Properties”) totaled $1.7 million for the current month on realized wellhead prices of $55.90/Bbl, down $0.2 million from the prior month’s oil cash receipts. Oil sales were down due in part to a temporary delay in reported revenues from certain fields associated with the transfer of operatorship for a portion of the Underlying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natural gas cash receipts from the Underlying Properties totaled $3.4 million for the current month on realized wellhead prices of $2.97/Mcf, up $2.4 million from the prior month. The increase in natural gas sales in the current month is primarily due to prior period royalty adjustments and the timing of cash receipts from one major operator in the Haynesville area, which resulted in lower receipts in the prior month, as reported in last month’s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operating expenses increased $0.6 million from the prior month to $3.0 million, and capital expenditures decreased $0.2 million from the prior month to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COERT Holdings 1 LLC (the “Sponsor”) has established a cash reserve for approved, future development expenses, primarily associated with three incremental Haynesville wells that an operator on the Underlying Properties has indicated it intends to drill in the coming months. Given the increase in expected spending, the Sponsor has notified the Trustee that it is withholding an additional $0.6 million from the current month’s net profits to be added to this cash reserve. To date, the Sponsor has established a total reserve of $0.9 million for approved, future development expenses. This reserve is intended to fund an expected increase in development expenses; however, if those expenses are ultimately delayed or are less than expected, or if the outlook changes, amounts reserved but unspent will be released as an incremental cash distribution in a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Permianville Royalty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 and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and expectations regarding future development on the Underlying Properties.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2024, filed with the SEC on March 19, 2025. The Trust’s quarterly and other filed reports are or will be available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 1 (512) 236-6555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1544</Words>
  <Characters>8383</Characters>
  <CharactersWithSpaces>9956</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